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line="240" w:lineRule="auto"/>
        <w:jc w:val="center"/>
        <w:rPr/>
      </w:pPr>
      <w:r w:rsidDel="00000000" w:rsidR="00000000" w:rsidRPr="00000000">
        <w:rPr/>
        <w:drawing>
          <wp:inline distB="19050" distT="19050" distL="19050" distR="19050">
            <wp:extent cx="1628775" cy="714222"/>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628775" cy="714222"/>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spacing w:line="240" w:lineRule="auto"/>
        <w:jc w:val="center"/>
        <w:rPr>
          <w:rFonts w:ascii="Century Gothic" w:cs="Century Gothic" w:eastAsia="Century Gothic" w:hAnsi="Century Gothic"/>
          <w:b w:val="1"/>
          <w:sz w:val="24.079999923706055"/>
          <w:szCs w:val="24.079999923706055"/>
        </w:rPr>
      </w:pPr>
      <w:r w:rsidDel="00000000" w:rsidR="00000000" w:rsidRPr="00000000">
        <w:rPr>
          <w:rFonts w:ascii="Century Gothic" w:cs="Century Gothic" w:eastAsia="Century Gothic" w:hAnsi="Century Gothic"/>
          <w:b w:val="1"/>
          <w:sz w:val="24.079999923706055"/>
          <w:szCs w:val="24.079999923706055"/>
          <w:rtl w:val="0"/>
        </w:rPr>
        <w:t xml:space="preserve">BOARD MEETING </w:t>
      </w:r>
    </w:p>
    <w:p w:rsidR="00000000" w:rsidDel="00000000" w:rsidP="00000000" w:rsidRDefault="00000000" w:rsidRPr="00000000" w14:paraId="00000003">
      <w:pPr>
        <w:widowControl w:val="0"/>
        <w:spacing w:before="44.306640625" w:line="240" w:lineRule="auto"/>
        <w:jc w:val="center"/>
        <w:rPr>
          <w:rFonts w:ascii="Century Gothic" w:cs="Century Gothic" w:eastAsia="Century Gothic" w:hAnsi="Century Gothic"/>
          <w:sz w:val="20.079999923706055"/>
          <w:szCs w:val="20.079999923706055"/>
        </w:rPr>
      </w:pPr>
      <w:r w:rsidDel="00000000" w:rsidR="00000000" w:rsidRPr="00000000">
        <w:rPr>
          <w:rFonts w:ascii="Century Gothic" w:cs="Century Gothic" w:eastAsia="Century Gothic" w:hAnsi="Century Gothic"/>
          <w:sz w:val="20.079999923706055"/>
          <w:szCs w:val="20.079999923706055"/>
          <w:rtl w:val="0"/>
        </w:rPr>
        <w:t xml:space="preserve">Tuesday, April 1, 2025 1:30pm </w:t>
      </w:r>
    </w:p>
    <w:p w:rsidR="00000000" w:rsidDel="00000000" w:rsidP="00000000" w:rsidRDefault="00000000" w:rsidRPr="00000000" w14:paraId="00000004">
      <w:pPr>
        <w:widowControl w:val="0"/>
        <w:numPr>
          <w:ilvl w:val="0"/>
          <w:numId w:val="1"/>
        </w:numPr>
        <w:spacing w:after="0" w:before="465.22216796875" w:line="360" w:lineRule="auto"/>
        <w:ind w:left="720" w:hanging="360"/>
        <w:rPr>
          <w:rFonts w:ascii="Century Gothic" w:cs="Century Gothic" w:eastAsia="Century Gothic" w:hAnsi="Century Gothic"/>
          <w:sz w:val="20.079999923706055"/>
          <w:szCs w:val="20.079999923706055"/>
        </w:rPr>
      </w:pPr>
      <w:r w:rsidDel="00000000" w:rsidR="00000000" w:rsidRPr="00000000">
        <w:rPr>
          <w:rFonts w:ascii="Century Gothic" w:cs="Century Gothic" w:eastAsia="Century Gothic" w:hAnsi="Century Gothic"/>
          <w:sz w:val="20.079999923706055"/>
          <w:szCs w:val="20.079999923706055"/>
          <w:rtl w:val="0"/>
        </w:rPr>
        <w:t xml:space="preserve">Call to Order </w:t>
      </w:r>
    </w:p>
    <w:p w:rsidR="00000000" w:rsidDel="00000000" w:rsidP="00000000" w:rsidRDefault="00000000" w:rsidRPr="00000000" w14:paraId="00000005">
      <w:pPr>
        <w:widowControl w:val="0"/>
        <w:numPr>
          <w:ilvl w:val="0"/>
          <w:numId w:val="1"/>
        </w:numPr>
        <w:spacing w:after="0" w:before="0" w:line="360" w:lineRule="auto"/>
        <w:ind w:left="720" w:hanging="360"/>
        <w:rPr>
          <w:rFonts w:ascii="Century Gothic" w:cs="Century Gothic" w:eastAsia="Century Gothic" w:hAnsi="Century Gothic"/>
          <w:sz w:val="20.079999923706055"/>
          <w:szCs w:val="20.079999923706055"/>
        </w:rPr>
      </w:pPr>
      <w:r w:rsidDel="00000000" w:rsidR="00000000" w:rsidRPr="00000000">
        <w:rPr>
          <w:rFonts w:ascii="Century Gothic" w:cs="Century Gothic" w:eastAsia="Century Gothic" w:hAnsi="Century Gothic"/>
          <w:sz w:val="20.079999923706055"/>
          <w:szCs w:val="20.079999923706055"/>
          <w:rtl w:val="0"/>
        </w:rPr>
        <w:t xml:space="preserve">Roll Call </w:t>
      </w:r>
    </w:p>
    <w:p w:rsidR="00000000" w:rsidDel="00000000" w:rsidP="00000000" w:rsidRDefault="00000000" w:rsidRPr="00000000" w14:paraId="00000006">
      <w:pPr>
        <w:widowControl w:val="0"/>
        <w:numPr>
          <w:ilvl w:val="0"/>
          <w:numId w:val="1"/>
        </w:numPr>
        <w:spacing w:after="0" w:before="0" w:line="360" w:lineRule="auto"/>
        <w:ind w:left="720" w:hanging="360"/>
        <w:rPr>
          <w:rFonts w:ascii="Century Gothic" w:cs="Century Gothic" w:eastAsia="Century Gothic" w:hAnsi="Century Gothic"/>
          <w:sz w:val="20.079999923706055"/>
          <w:szCs w:val="20.079999923706055"/>
        </w:rPr>
      </w:pPr>
      <w:r w:rsidDel="00000000" w:rsidR="00000000" w:rsidRPr="00000000">
        <w:rPr>
          <w:rFonts w:ascii="Century Gothic" w:cs="Century Gothic" w:eastAsia="Century Gothic" w:hAnsi="Century Gothic"/>
          <w:sz w:val="20.079999923706055"/>
          <w:szCs w:val="20.079999923706055"/>
          <w:rtl w:val="0"/>
        </w:rPr>
        <w:t xml:space="preserve">Pledge of Allegiance </w:t>
      </w:r>
    </w:p>
    <w:p w:rsidR="00000000" w:rsidDel="00000000" w:rsidP="00000000" w:rsidRDefault="00000000" w:rsidRPr="00000000" w14:paraId="00000007">
      <w:pPr>
        <w:widowControl w:val="0"/>
        <w:numPr>
          <w:ilvl w:val="0"/>
          <w:numId w:val="1"/>
        </w:numPr>
        <w:spacing w:after="0" w:before="0" w:line="360" w:lineRule="auto"/>
        <w:ind w:left="720" w:hanging="360"/>
        <w:rPr>
          <w:rFonts w:ascii="Century Gothic" w:cs="Century Gothic" w:eastAsia="Century Gothic" w:hAnsi="Century Gothic"/>
          <w:sz w:val="20.079999923706055"/>
          <w:szCs w:val="20.079999923706055"/>
        </w:rPr>
      </w:pPr>
      <w:r w:rsidDel="00000000" w:rsidR="00000000" w:rsidRPr="00000000">
        <w:rPr>
          <w:rFonts w:ascii="Century Gothic" w:cs="Century Gothic" w:eastAsia="Century Gothic" w:hAnsi="Century Gothic"/>
          <w:sz w:val="20.079999923706055"/>
          <w:szCs w:val="20.079999923706055"/>
          <w:rtl w:val="0"/>
        </w:rPr>
        <w:t xml:space="preserve">Review and Approve Agenda </w:t>
      </w:r>
    </w:p>
    <w:p w:rsidR="00000000" w:rsidDel="00000000" w:rsidP="00000000" w:rsidRDefault="00000000" w:rsidRPr="00000000" w14:paraId="00000008">
      <w:pPr>
        <w:widowControl w:val="0"/>
        <w:numPr>
          <w:ilvl w:val="0"/>
          <w:numId w:val="1"/>
        </w:numPr>
        <w:spacing w:after="0" w:before="0" w:line="360" w:lineRule="auto"/>
        <w:ind w:left="720" w:hanging="360"/>
        <w:rPr>
          <w:rFonts w:ascii="Century Gothic" w:cs="Century Gothic" w:eastAsia="Century Gothic" w:hAnsi="Century Gothic"/>
          <w:sz w:val="20.079999923706055"/>
          <w:szCs w:val="20.079999923706055"/>
          <w:u w:val="none"/>
        </w:rPr>
      </w:pPr>
      <w:r w:rsidDel="00000000" w:rsidR="00000000" w:rsidRPr="00000000">
        <w:rPr>
          <w:rFonts w:ascii="Century Gothic" w:cs="Century Gothic" w:eastAsia="Century Gothic" w:hAnsi="Century Gothic"/>
          <w:sz w:val="20.079999923706055"/>
          <w:szCs w:val="20.079999923706055"/>
          <w:rtl w:val="0"/>
        </w:rPr>
        <w:t xml:space="preserve">2025/26 School Year Employment Salary Schedule &amp; Contracts</w:t>
      </w:r>
    </w:p>
    <w:p w:rsidR="00000000" w:rsidDel="00000000" w:rsidP="00000000" w:rsidRDefault="00000000" w:rsidRPr="00000000" w14:paraId="00000009">
      <w:pPr>
        <w:widowControl w:val="0"/>
        <w:numPr>
          <w:ilvl w:val="0"/>
          <w:numId w:val="1"/>
        </w:numPr>
        <w:spacing w:after="0" w:before="0" w:line="360" w:lineRule="auto"/>
        <w:ind w:left="720" w:hanging="360"/>
        <w:rPr>
          <w:rFonts w:ascii="Century Gothic" w:cs="Century Gothic" w:eastAsia="Century Gothic" w:hAnsi="Century Gothic"/>
          <w:sz w:val="20.079999923706055"/>
          <w:szCs w:val="20.079999923706055"/>
        </w:rPr>
      </w:pPr>
      <w:r w:rsidDel="00000000" w:rsidR="00000000" w:rsidRPr="00000000">
        <w:rPr>
          <w:rFonts w:ascii="Century Gothic" w:cs="Century Gothic" w:eastAsia="Century Gothic" w:hAnsi="Century Gothic"/>
          <w:sz w:val="20.079999923706055"/>
          <w:szCs w:val="20.079999923706055"/>
          <w:rtl w:val="0"/>
        </w:rPr>
        <w:t xml:space="preserve">Review and approve Closed Session: State Statute 19.85 (c )considering employment, promotion, compensation or performance evaluation data of any public employee over which the governmental body has jurisdiction or exercises responsibility to finalize teachers 2025/26 school year contracts.  State Statute 19.85 (g) conferring with legal counsel for the governmental body who is rendering oral or written advice concerning strategy to be adopted by the body with respect to litigation in which it is or is likely to become involved regarding current lease and  tenant relationship. </w:t>
      </w:r>
    </w:p>
    <w:p w:rsidR="00000000" w:rsidDel="00000000" w:rsidP="00000000" w:rsidRDefault="00000000" w:rsidRPr="00000000" w14:paraId="0000000A">
      <w:pPr>
        <w:widowControl w:val="0"/>
        <w:numPr>
          <w:ilvl w:val="0"/>
          <w:numId w:val="1"/>
        </w:numPr>
        <w:spacing w:after="0" w:before="0" w:line="360" w:lineRule="auto"/>
        <w:ind w:left="720" w:hanging="360"/>
        <w:rPr>
          <w:rFonts w:ascii="Century Gothic" w:cs="Century Gothic" w:eastAsia="Century Gothic" w:hAnsi="Century Gothic"/>
          <w:sz w:val="20.079999923706055"/>
          <w:szCs w:val="20.079999923706055"/>
          <w:u w:val="none"/>
        </w:rPr>
      </w:pPr>
      <w:r w:rsidDel="00000000" w:rsidR="00000000" w:rsidRPr="00000000">
        <w:rPr>
          <w:rFonts w:ascii="Century Gothic" w:cs="Century Gothic" w:eastAsia="Century Gothic" w:hAnsi="Century Gothic"/>
          <w:sz w:val="20.079999923706055"/>
          <w:szCs w:val="20.079999923706055"/>
          <w:rtl w:val="0"/>
        </w:rPr>
        <w:t xml:space="preserve">The Board of Education will reconvene into open session to vote on 2025/26 School Year Employment Salary Schedule &amp; Contracts. </w:t>
      </w:r>
    </w:p>
    <w:p w:rsidR="00000000" w:rsidDel="00000000" w:rsidP="00000000" w:rsidRDefault="00000000" w:rsidRPr="00000000" w14:paraId="0000000B">
      <w:pPr>
        <w:widowControl w:val="0"/>
        <w:numPr>
          <w:ilvl w:val="0"/>
          <w:numId w:val="1"/>
        </w:numPr>
        <w:spacing w:after="0" w:before="0" w:line="360" w:lineRule="auto"/>
        <w:ind w:left="720" w:hanging="360"/>
        <w:rPr>
          <w:rFonts w:ascii="Century Gothic" w:cs="Century Gothic" w:eastAsia="Century Gothic" w:hAnsi="Century Gothic"/>
          <w:sz w:val="20.079999923706055"/>
          <w:szCs w:val="20.079999923706055"/>
          <w:u w:val="none"/>
        </w:rPr>
      </w:pPr>
      <w:r w:rsidDel="00000000" w:rsidR="00000000" w:rsidRPr="00000000">
        <w:rPr>
          <w:rFonts w:ascii="Century Gothic" w:cs="Century Gothic" w:eastAsia="Century Gothic" w:hAnsi="Century Gothic"/>
          <w:sz w:val="20.079999923706055"/>
          <w:szCs w:val="20.079999923706055"/>
          <w:rtl w:val="0"/>
        </w:rPr>
        <w:t xml:space="preserve">Discuss New Employee Handbook (time permitting)</w:t>
      </w:r>
    </w:p>
    <w:p w:rsidR="00000000" w:rsidDel="00000000" w:rsidP="00000000" w:rsidRDefault="00000000" w:rsidRPr="00000000" w14:paraId="0000000C">
      <w:pPr>
        <w:widowControl w:val="0"/>
        <w:numPr>
          <w:ilvl w:val="0"/>
          <w:numId w:val="1"/>
        </w:numPr>
        <w:spacing w:before="0" w:line="360" w:lineRule="auto"/>
        <w:ind w:left="720" w:hanging="360"/>
        <w:rPr>
          <w:rFonts w:ascii="Century Gothic" w:cs="Century Gothic" w:eastAsia="Century Gothic" w:hAnsi="Century Gothic"/>
          <w:sz w:val="20.079999923706055"/>
          <w:szCs w:val="20.079999923706055"/>
        </w:rPr>
      </w:pPr>
      <w:r w:rsidDel="00000000" w:rsidR="00000000" w:rsidRPr="00000000">
        <w:rPr>
          <w:rFonts w:ascii="Century Gothic" w:cs="Century Gothic" w:eastAsia="Century Gothic" w:hAnsi="Century Gothic"/>
          <w:sz w:val="20.079999923706055"/>
          <w:szCs w:val="20.079999923706055"/>
          <w:rtl w:val="0"/>
        </w:rPr>
        <w:t xml:space="preserve">Adjournment</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usz2JYvGe688m/LMK+KEFsgJg==">CgMxLjA4AHIhMXRlTTFsWEZGU2RwVHJXRlVuVGxYcU8wZnhyOXhqeklz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